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CA" w:rsidRPr="00574DCF" w:rsidRDefault="002D34FD" w:rsidP="000876CA">
      <w:pPr>
        <w:rPr>
          <w:rFonts w:ascii="Futura Book" w:hAnsi="Futura Book"/>
          <w:color w:val="808080"/>
          <w:sz w:val="15"/>
        </w:rPr>
      </w:pPr>
      <w:r>
        <w:rPr>
          <w:noProof/>
          <w:szCs w:val="20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2451735</wp:posOffset>
            </wp:positionH>
            <wp:positionV relativeFrom="page">
              <wp:posOffset>916940</wp:posOffset>
            </wp:positionV>
            <wp:extent cx="1955800" cy="118745"/>
            <wp:effectExtent l="0" t="0" r="6350" b="0"/>
            <wp:wrapNone/>
            <wp:docPr id="10" name="Picture 10" descr="cont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ntac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0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508635</wp:posOffset>
            </wp:positionH>
            <wp:positionV relativeFrom="page">
              <wp:posOffset>345440</wp:posOffset>
            </wp:positionV>
            <wp:extent cx="1358900" cy="825500"/>
            <wp:effectExtent l="0" t="0" r="0" b="0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2337435</wp:posOffset>
                </wp:positionH>
                <wp:positionV relativeFrom="page">
                  <wp:posOffset>1031240</wp:posOffset>
                </wp:positionV>
                <wp:extent cx="3771900" cy="228600"/>
                <wp:effectExtent l="3810" t="254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6CA" w:rsidRPr="000876CA" w:rsidRDefault="000876CA">
                            <w:pPr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0876C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Tel. </w:t>
                            </w:r>
                            <w:r w:rsidRPr="005B5FD3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>510.538.8876</w:t>
                            </w:r>
                            <w:r w:rsidRPr="000876C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876C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TDD </w:t>
                            </w:r>
                            <w:r w:rsidRPr="005B5FD3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>510.727.8551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876C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Fax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B5FD3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>510.</w:t>
                            </w:r>
                            <w:r w:rsidR="00FF36E6" w:rsidRPr="005B5FD3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>727-8554</w:t>
                            </w:r>
                            <w:r w:rsidRPr="005B5FD3">
                              <w:rPr>
                                <w:rFonts w:ascii="Century Gothic" w:hAnsi="Century Gothic"/>
                                <w:color w:val="000000"/>
                                <w:sz w:val="16"/>
                                <w:szCs w:val="16"/>
                              </w:rPr>
                              <w:t xml:space="preserve">   www.haca.net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4.05pt;margin-top:81.2pt;width:29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" filled="f" stroked="f" strokecolor="#333" strokeweight="0">
                <v:textbox>
                  <w:txbxContent>
                    <w:p w:rsidR="000876CA" w:rsidRPr="000876CA" w:rsidRDefault="000876CA">
                      <w:pPr>
                        <w:rPr>
                          <w:rFonts w:ascii="Century Gothic" w:hAnsi="Century Gothic"/>
                          <w:color w:val="808080"/>
                          <w:sz w:val="16"/>
                          <w:szCs w:val="16"/>
                        </w:rPr>
                      </w:pPr>
                      <w:r w:rsidRPr="000876C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Tel. </w:t>
                      </w:r>
                      <w:r w:rsidRPr="005B5FD3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</w:rPr>
                        <w:t>510.538.8876</w:t>
                      </w:r>
                      <w:r w:rsidRPr="000876C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</w:t>
                      </w:r>
                      <w:r w:rsidRPr="000876C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TDD </w:t>
                      </w:r>
                      <w:r w:rsidRPr="005B5FD3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</w:rPr>
                        <w:t>510.727.8551</w:t>
                      </w:r>
                      <w:r>
                        <w:rPr>
                          <w:rFonts w:ascii="Century Gothic" w:hAnsi="Century Gothic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</w:t>
                      </w:r>
                      <w:r w:rsidRPr="000876CA">
                        <w:rPr>
                          <w:rFonts w:ascii="Century Gothic" w:hAnsi="Century Gothic"/>
                          <w:sz w:val="16"/>
                          <w:szCs w:val="16"/>
                        </w:rPr>
                        <w:t>Fax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  </w:t>
                      </w:r>
                      <w:r w:rsidRPr="005B5FD3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</w:rPr>
                        <w:t>510.</w:t>
                      </w:r>
                      <w:r w:rsidR="00FF36E6" w:rsidRPr="005B5FD3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</w:rPr>
                        <w:t>727-8554</w:t>
                      </w:r>
                      <w:r w:rsidRPr="005B5FD3">
                        <w:rPr>
                          <w:rFonts w:ascii="Century Gothic" w:hAnsi="Century Gothic"/>
                          <w:color w:val="000000"/>
                          <w:sz w:val="16"/>
                          <w:szCs w:val="16"/>
                        </w:rPr>
                        <w:t xml:space="preserve">   www.haca.net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1425575</wp:posOffset>
                </wp:positionV>
                <wp:extent cx="6903720" cy="0"/>
                <wp:effectExtent l="9525" t="6350" r="11430" b="12700"/>
                <wp:wrapSquare wrapText="bothSides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112.25pt" to="543.6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eZEwIAACgEAAAOAAAAZHJzL2Uyb0RvYy54bWysU8GO2jAQvVfqP1i+QxLIsh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" strokecolor="gray" strokeweight=".5pt">
                <w10:wrap type="square" anchory="page"/>
                <w10:anchorlock/>
              </v:line>
            </w:pict>
          </mc:Fallback>
        </mc:AlternateContent>
      </w:r>
    </w:p>
    <w:p w:rsidR="000876CA" w:rsidRDefault="000876CA" w:rsidP="000876CA">
      <w:pPr>
        <w:rPr>
          <w:color w:val="808080"/>
        </w:rPr>
      </w:pPr>
    </w:p>
    <w:p w:rsidR="00037103" w:rsidRDefault="00037103" w:rsidP="000876CA">
      <w:pPr>
        <w:rPr>
          <w:color w:val="808080"/>
        </w:rPr>
      </w:pPr>
    </w:p>
    <w:p w:rsidR="001B7608" w:rsidRDefault="001B7608" w:rsidP="000876CA">
      <w:pPr>
        <w:rPr>
          <w:rFonts w:ascii="Century Gothic" w:hAnsi="Century Gothic"/>
          <w:sz w:val="22"/>
          <w:szCs w:val="22"/>
        </w:rPr>
      </w:pPr>
    </w:p>
    <w:p w:rsidR="001D2B47" w:rsidRDefault="001D2B47" w:rsidP="001D2B47">
      <w:pPr>
        <w:rPr>
          <w:rFonts w:ascii="Calibri" w:hAnsi="Calibri" w:cs="Calibri"/>
          <w:sz w:val="22"/>
          <w:szCs w:val="22"/>
        </w:rPr>
      </w:pPr>
    </w:p>
    <w:p w:rsidR="00C92841" w:rsidRDefault="00C92841" w:rsidP="001D2B47">
      <w:pPr>
        <w:rPr>
          <w:rFonts w:ascii="Calibri" w:hAnsi="Calibri" w:cs="Calibri"/>
          <w:sz w:val="22"/>
          <w:szCs w:val="22"/>
        </w:rPr>
      </w:pPr>
    </w:p>
    <w:p w:rsidR="004A5353" w:rsidRPr="00DB7740" w:rsidRDefault="0033763D" w:rsidP="001D2B47">
      <w:pPr>
        <w:rPr>
          <w:rFonts w:ascii="Calibri" w:hAnsi="Calibri" w:cs="Calibri"/>
          <w:sz w:val="22"/>
          <w:szCs w:val="22"/>
        </w:rPr>
      </w:pPr>
      <w:r w:rsidRPr="00DB7740">
        <w:rPr>
          <w:rFonts w:ascii="Calibri" w:hAnsi="Calibri" w:cs="Calibri"/>
          <w:sz w:val="22"/>
          <w:szCs w:val="22"/>
        </w:rPr>
        <w:t>Pursuant to the CARES Act, the U.S. Department of Housing and Urban Development (HUD) issued HUD Notice PIH 2020-05 on April 10th, waiving and establishing alternative requirements for numerous statutory an</w:t>
      </w:r>
      <w:r w:rsidR="00B34A67">
        <w:rPr>
          <w:rFonts w:ascii="Calibri" w:hAnsi="Calibri" w:cs="Calibri"/>
          <w:sz w:val="22"/>
          <w:szCs w:val="22"/>
        </w:rPr>
        <w:t>d</w:t>
      </w:r>
      <w:r w:rsidRPr="00DB7740">
        <w:rPr>
          <w:rFonts w:ascii="Calibri" w:hAnsi="Calibri" w:cs="Calibri"/>
          <w:sz w:val="22"/>
          <w:szCs w:val="22"/>
        </w:rPr>
        <w:t xml:space="preserve"> regulatory requirements for the Housing Choice Voucher (HCV) program. </w:t>
      </w:r>
      <w:r w:rsidR="00770ED5">
        <w:rPr>
          <w:rFonts w:ascii="Calibri" w:hAnsi="Calibri" w:cs="Calibri"/>
          <w:sz w:val="22"/>
          <w:szCs w:val="22"/>
        </w:rPr>
        <w:t>As of April 10, t</w:t>
      </w:r>
      <w:r w:rsidR="00B34A67">
        <w:rPr>
          <w:rFonts w:ascii="Calibri" w:hAnsi="Calibri" w:cs="Calibri"/>
          <w:sz w:val="22"/>
          <w:szCs w:val="22"/>
        </w:rPr>
        <w:t>he Alameda County Housing Authority (</w:t>
      </w:r>
      <w:r w:rsidR="00295F82" w:rsidRPr="00DB7740">
        <w:rPr>
          <w:rFonts w:ascii="Calibri" w:hAnsi="Calibri" w:cs="Calibri"/>
          <w:sz w:val="22"/>
          <w:szCs w:val="22"/>
        </w:rPr>
        <w:t>HACA</w:t>
      </w:r>
      <w:r w:rsidR="00B34A67">
        <w:rPr>
          <w:rFonts w:ascii="Calibri" w:hAnsi="Calibri" w:cs="Calibri"/>
          <w:sz w:val="22"/>
          <w:szCs w:val="22"/>
        </w:rPr>
        <w:t>)</w:t>
      </w:r>
      <w:r w:rsidR="00E52A14" w:rsidRPr="00DB7740">
        <w:rPr>
          <w:rFonts w:ascii="Calibri" w:hAnsi="Calibri" w:cs="Calibri"/>
          <w:sz w:val="22"/>
          <w:szCs w:val="22"/>
        </w:rPr>
        <w:t xml:space="preserve"> has implemented the following waivers</w:t>
      </w:r>
      <w:r w:rsidR="00036C66" w:rsidRPr="00DB7740">
        <w:rPr>
          <w:rFonts w:ascii="Calibri" w:hAnsi="Calibri" w:cs="Calibri"/>
          <w:sz w:val="22"/>
          <w:szCs w:val="22"/>
        </w:rPr>
        <w:t xml:space="preserve"> </w:t>
      </w:r>
      <w:r w:rsidR="00E52A14" w:rsidRPr="00DB7740">
        <w:rPr>
          <w:rFonts w:ascii="Calibri" w:hAnsi="Calibri" w:cs="Calibri"/>
          <w:sz w:val="22"/>
          <w:szCs w:val="22"/>
        </w:rPr>
        <w:t>made available to th</w:t>
      </w:r>
      <w:r w:rsidRPr="00DB7740">
        <w:rPr>
          <w:rFonts w:ascii="Calibri" w:hAnsi="Calibri" w:cs="Calibri"/>
          <w:sz w:val="22"/>
          <w:szCs w:val="22"/>
        </w:rPr>
        <w:t>e Housing Choice Voucher program in order to prioritize mission critical functions in response to the COVID-19 pandemic</w:t>
      </w:r>
      <w:r w:rsidR="00C92841">
        <w:rPr>
          <w:rFonts w:ascii="Calibri" w:hAnsi="Calibri" w:cs="Calibri"/>
          <w:sz w:val="22"/>
          <w:szCs w:val="22"/>
        </w:rPr>
        <w:t>. HACA wants you to be informed of these waivers.</w:t>
      </w:r>
    </w:p>
    <w:p w:rsidR="00E52A14" w:rsidRPr="00DB7740" w:rsidRDefault="00E52A14" w:rsidP="000876CA">
      <w:pPr>
        <w:rPr>
          <w:rFonts w:ascii="Calibri" w:hAnsi="Calibri" w:cs="Calibri"/>
          <w:sz w:val="22"/>
          <w:szCs w:val="22"/>
        </w:rPr>
      </w:pPr>
    </w:p>
    <w:tbl>
      <w:tblPr>
        <w:tblW w:w="11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340"/>
        <w:gridCol w:w="1350"/>
        <w:gridCol w:w="2790"/>
        <w:gridCol w:w="2970"/>
      </w:tblGrid>
      <w:tr w:rsidR="00216E19" w:rsidRPr="00DB7740" w:rsidTr="00C92841">
        <w:trPr>
          <w:trHeight w:val="872"/>
        </w:trPr>
        <w:tc>
          <w:tcPr>
            <w:tcW w:w="1620" w:type="dxa"/>
            <w:shd w:val="clear" w:color="auto" w:fill="auto"/>
            <w:hideMark/>
          </w:tcPr>
          <w:p w:rsidR="00B0198A" w:rsidRPr="00DB7740" w:rsidRDefault="00B0198A" w:rsidP="00C928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7740"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340" w:type="dxa"/>
            <w:shd w:val="clear" w:color="auto" w:fill="auto"/>
            <w:hideMark/>
          </w:tcPr>
          <w:p w:rsidR="00B0198A" w:rsidRPr="00DB7740" w:rsidRDefault="00B34A67" w:rsidP="00C928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Permitted Waiver</w:t>
            </w:r>
          </w:p>
        </w:tc>
        <w:tc>
          <w:tcPr>
            <w:tcW w:w="1350" w:type="dxa"/>
            <w:shd w:val="clear" w:color="auto" w:fill="auto"/>
            <w:hideMark/>
          </w:tcPr>
          <w:p w:rsidR="00B0198A" w:rsidRPr="00DB7740" w:rsidRDefault="009B4012" w:rsidP="00C928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7740">
              <w:rPr>
                <w:rFonts w:ascii="Calibri" w:hAnsi="Calibri" w:cs="Calibri"/>
                <w:b/>
                <w:bCs/>
                <w:sz w:val="22"/>
                <w:szCs w:val="22"/>
              </w:rPr>
              <w:t>HUD</w:t>
            </w:r>
            <w:r w:rsidR="00675F1A" w:rsidRPr="00DB7740">
              <w:rPr>
                <w:rFonts w:ascii="Calibri" w:hAnsi="Calibri" w:cs="Calibri"/>
                <w:b/>
                <w:bCs/>
                <w:sz w:val="22"/>
                <w:szCs w:val="22"/>
              </w:rPr>
              <w:t>-e</w:t>
            </w:r>
            <w:r w:rsidR="0033763D" w:rsidRPr="00DB7740">
              <w:rPr>
                <w:rFonts w:ascii="Calibri" w:hAnsi="Calibri" w:cs="Calibri"/>
                <w:b/>
                <w:bCs/>
                <w:sz w:val="22"/>
                <w:szCs w:val="22"/>
              </w:rPr>
              <w:t>stablished</w:t>
            </w:r>
            <w:r w:rsidRPr="00DB774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0198A" w:rsidRPr="00DB7740">
              <w:rPr>
                <w:rFonts w:ascii="Calibri" w:hAnsi="Calibri" w:cs="Calibri"/>
                <w:b/>
                <w:bCs/>
                <w:sz w:val="22"/>
                <w:szCs w:val="22"/>
              </w:rPr>
              <w:t>Availability Period Ends</w:t>
            </w:r>
          </w:p>
        </w:tc>
        <w:tc>
          <w:tcPr>
            <w:tcW w:w="2790" w:type="dxa"/>
            <w:shd w:val="clear" w:color="auto" w:fill="auto"/>
            <w:hideMark/>
          </w:tcPr>
          <w:p w:rsidR="00B0198A" w:rsidRPr="00DB7740" w:rsidRDefault="00F10A79" w:rsidP="00C928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7740">
              <w:rPr>
                <w:rFonts w:ascii="Calibri" w:hAnsi="Calibri" w:cs="Calibri"/>
                <w:b/>
                <w:bCs/>
                <w:sz w:val="22"/>
                <w:szCs w:val="22"/>
              </w:rPr>
              <w:t>Implementation Summary</w:t>
            </w:r>
          </w:p>
        </w:tc>
        <w:tc>
          <w:tcPr>
            <w:tcW w:w="2970" w:type="dxa"/>
            <w:shd w:val="clear" w:color="auto" w:fill="auto"/>
            <w:hideMark/>
          </w:tcPr>
          <w:p w:rsidR="00E52CC9" w:rsidRPr="00DB7740" w:rsidRDefault="00E52CC9" w:rsidP="00C928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Potential Impacts</w:t>
            </w:r>
            <w:r w:rsidR="003270B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on Tenants</w:t>
            </w:r>
            <w:r w:rsidR="0008628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Owners</w:t>
            </w:r>
          </w:p>
        </w:tc>
      </w:tr>
      <w:tr w:rsidR="00216E19" w:rsidRPr="00DB7740" w:rsidTr="00C92841">
        <w:trPr>
          <w:trHeight w:val="1430"/>
        </w:trPr>
        <w:tc>
          <w:tcPr>
            <w:tcW w:w="1620" w:type="dxa"/>
            <w:shd w:val="clear" w:color="auto" w:fill="auto"/>
            <w:hideMark/>
          </w:tcPr>
          <w:p w:rsidR="001304F6" w:rsidRDefault="002A474B" w:rsidP="002A474B">
            <w:pPr>
              <w:tabs>
                <w:tab w:val="center" w:pos="83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B0198A" w:rsidRPr="00DB7740">
              <w:rPr>
                <w:rFonts w:ascii="Calibri" w:hAnsi="Calibri" w:cs="Calibri"/>
                <w:sz w:val="22"/>
                <w:szCs w:val="22"/>
              </w:rPr>
              <w:br/>
            </w:r>
            <w:r w:rsidR="00B0198A" w:rsidRPr="00DB7740">
              <w:rPr>
                <w:rFonts w:ascii="Calibri" w:hAnsi="Calibri" w:cs="Calibri"/>
                <w:sz w:val="22"/>
                <w:szCs w:val="22"/>
              </w:rPr>
              <w:br/>
              <w:t>PHA 5-Year and Annual Plan</w:t>
            </w:r>
          </w:p>
          <w:p w:rsidR="00B0198A" w:rsidRPr="001304F6" w:rsidRDefault="00B0198A" w:rsidP="001304F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hideMark/>
          </w:tcPr>
          <w:p w:rsidR="00B0198A" w:rsidRPr="00DB7740" w:rsidRDefault="00B0198A" w:rsidP="00D649FF">
            <w:pPr>
              <w:rPr>
                <w:rFonts w:ascii="Calibri" w:hAnsi="Calibri" w:cs="Calibri"/>
                <w:sz w:val="22"/>
                <w:szCs w:val="22"/>
              </w:rPr>
            </w:pPr>
            <w:r w:rsidRPr="00DB7740">
              <w:rPr>
                <w:rFonts w:ascii="Calibri" w:hAnsi="Calibri" w:cs="Calibri"/>
                <w:sz w:val="22"/>
                <w:szCs w:val="22"/>
              </w:rPr>
              <w:t xml:space="preserve">Alternative dates for submission </w:t>
            </w:r>
            <w:r w:rsidRPr="00DB7740">
              <w:rPr>
                <w:rFonts w:ascii="Calibri" w:hAnsi="Calibri" w:cs="Calibri"/>
                <w:sz w:val="22"/>
                <w:szCs w:val="22"/>
              </w:rPr>
              <w:br/>
            </w:r>
            <w:r w:rsidRPr="00DB7740">
              <w:rPr>
                <w:rFonts w:ascii="Calibri" w:hAnsi="Calibri" w:cs="Calibri"/>
                <w:sz w:val="22"/>
                <w:szCs w:val="22"/>
              </w:rPr>
              <w:br/>
              <w:t>Changes to significant amendment process</w:t>
            </w:r>
          </w:p>
        </w:tc>
        <w:tc>
          <w:tcPr>
            <w:tcW w:w="1350" w:type="dxa"/>
            <w:shd w:val="clear" w:color="auto" w:fill="auto"/>
            <w:hideMark/>
          </w:tcPr>
          <w:p w:rsidR="00B0198A" w:rsidRPr="00DB7740" w:rsidRDefault="00FB54D8" w:rsidP="00D649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B0198A" w:rsidRPr="00DB7740">
              <w:rPr>
                <w:rFonts w:ascii="Calibri" w:hAnsi="Calibri" w:cs="Calibri"/>
                <w:sz w:val="22"/>
                <w:szCs w:val="22"/>
              </w:rPr>
              <w:t>/31/2020</w:t>
            </w:r>
          </w:p>
        </w:tc>
        <w:tc>
          <w:tcPr>
            <w:tcW w:w="2790" w:type="dxa"/>
            <w:shd w:val="clear" w:color="auto" w:fill="auto"/>
            <w:hideMark/>
          </w:tcPr>
          <w:p w:rsidR="00B0198A" w:rsidRPr="00DB7740" w:rsidRDefault="00F10A79" w:rsidP="00D649FF">
            <w:pPr>
              <w:rPr>
                <w:rFonts w:ascii="Calibri" w:hAnsi="Calibri" w:cs="Calibri"/>
                <w:sz w:val="22"/>
                <w:szCs w:val="22"/>
              </w:rPr>
            </w:pPr>
            <w:r w:rsidRPr="00DB7740">
              <w:rPr>
                <w:rFonts w:ascii="Calibri" w:hAnsi="Calibri" w:cs="Calibri"/>
                <w:sz w:val="22"/>
                <w:szCs w:val="22"/>
              </w:rPr>
              <w:t>HACA delayed i</w:t>
            </w:r>
            <w:r w:rsidR="00036C66" w:rsidRPr="00DB7740">
              <w:rPr>
                <w:rFonts w:ascii="Calibri" w:hAnsi="Calibri" w:cs="Calibri"/>
                <w:sz w:val="22"/>
                <w:szCs w:val="22"/>
              </w:rPr>
              <w:t xml:space="preserve">ts submission of </w:t>
            </w:r>
            <w:r w:rsidR="00B34A67">
              <w:rPr>
                <w:rFonts w:ascii="Calibri" w:hAnsi="Calibri" w:cs="Calibri"/>
                <w:sz w:val="22"/>
                <w:szCs w:val="22"/>
              </w:rPr>
              <w:t>its</w:t>
            </w:r>
            <w:r w:rsidR="00036C66" w:rsidRPr="00DB7740">
              <w:rPr>
                <w:rFonts w:ascii="Calibri" w:hAnsi="Calibri" w:cs="Calibri"/>
                <w:sz w:val="22"/>
                <w:szCs w:val="22"/>
              </w:rPr>
              <w:t xml:space="preserve"> 5-Year </w:t>
            </w:r>
            <w:r w:rsidR="00B34A67">
              <w:rPr>
                <w:rFonts w:ascii="Calibri" w:hAnsi="Calibri" w:cs="Calibri"/>
                <w:sz w:val="22"/>
                <w:szCs w:val="22"/>
              </w:rPr>
              <w:t xml:space="preserve">Plan </w:t>
            </w:r>
            <w:r w:rsidR="00036C66" w:rsidRPr="00DB7740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Pr="00DB7740">
              <w:rPr>
                <w:rFonts w:ascii="Calibri" w:hAnsi="Calibri" w:cs="Calibri"/>
                <w:sz w:val="22"/>
                <w:szCs w:val="22"/>
              </w:rPr>
              <w:t>Annual</w:t>
            </w:r>
            <w:r w:rsidR="00036C66" w:rsidRPr="00DB77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B7740">
              <w:rPr>
                <w:rFonts w:ascii="Calibri" w:hAnsi="Calibri" w:cs="Calibri"/>
                <w:sz w:val="22"/>
                <w:szCs w:val="22"/>
              </w:rPr>
              <w:t>Plan</w:t>
            </w:r>
            <w:r w:rsidR="001F2FB9">
              <w:rPr>
                <w:rFonts w:ascii="Calibri" w:hAnsi="Calibri" w:cs="Calibri"/>
                <w:sz w:val="22"/>
                <w:szCs w:val="22"/>
              </w:rPr>
              <w:t xml:space="preserve"> beyond the 4/17</w:t>
            </w:r>
            <w:r w:rsidR="00B55208">
              <w:rPr>
                <w:rFonts w:ascii="Calibri" w:hAnsi="Calibri" w:cs="Calibri"/>
                <w:sz w:val="22"/>
                <w:szCs w:val="22"/>
              </w:rPr>
              <w:t>/20</w:t>
            </w:r>
            <w:r w:rsidR="00B34A67">
              <w:rPr>
                <w:rFonts w:ascii="Calibri" w:hAnsi="Calibri" w:cs="Calibri"/>
                <w:sz w:val="22"/>
                <w:szCs w:val="22"/>
              </w:rPr>
              <w:t xml:space="preserve"> due date</w:t>
            </w:r>
            <w:r w:rsidR="00036C66" w:rsidRPr="00DB7740">
              <w:rPr>
                <w:rFonts w:ascii="Calibri" w:hAnsi="Calibri" w:cs="Calibri"/>
                <w:sz w:val="22"/>
                <w:szCs w:val="22"/>
              </w:rPr>
              <w:t xml:space="preserve">, but </w:t>
            </w:r>
            <w:r w:rsidR="00B34A67">
              <w:rPr>
                <w:rFonts w:ascii="Calibri" w:hAnsi="Calibri" w:cs="Calibri"/>
                <w:sz w:val="22"/>
                <w:szCs w:val="22"/>
              </w:rPr>
              <w:t xml:space="preserve">using the waiver </w:t>
            </w:r>
            <w:r w:rsidR="00036C66" w:rsidRPr="00DB7740">
              <w:rPr>
                <w:rFonts w:ascii="Calibri" w:hAnsi="Calibri" w:cs="Calibri"/>
                <w:sz w:val="22"/>
                <w:szCs w:val="22"/>
              </w:rPr>
              <w:t>has since submitted the plans on 5/6</w:t>
            </w:r>
            <w:r w:rsidR="006C3CC1">
              <w:rPr>
                <w:rFonts w:ascii="Calibri" w:hAnsi="Calibri" w:cs="Calibri"/>
                <w:sz w:val="22"/>
                <w:szCs w:val="22"/>
              </w:rPr>
              <w:t>/20</w:t>
            </w:r>
            <w:r w:rsidR="00036C66" w:rsidRPr="00DB774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970" w:type="dxa"/>
            <w:shd w:val="clear" w:color="auto" w:fill="auto"/>
            <w:hideMark/>
          </w:tcPr>
          <w:p w:rsidR="00B0198A" w:rsidRPr="00DB7740" w:rsidRDefault="00A34B21" w:rsidP="00D649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 impact</w:t>
            </w:r>
          </w:p>
        </w:tc>
      </w:tr>
      <w:tr w:rsidR="00FB54D8" w:rsidRPr="00DB7740" w:rsidTr="00D73B00">
        <w:trPr>
          <w:trHeight w:val="872"/>
        </w:trPr>
        <w:tc>
          <w:tcPr>
            <w:tcW w:w="1620" w:type="dxa"/>
            <w:shd w:val="clear" w:color="auto" w:fill="auto"/>
          </w:tcPr>
          <w:p w:rsidR="00FB54D8" w:rsidRPr="006B2D85" w:rsidRDefault="00FB54D8" w:rsidP="002A474B">
            <w:pPr>
              <w:tabs>
                <w:tab w:val="center" w:pos="837"/>
              </w:tabs>
              <w:rPr>
                <w:rFonts w:ascii="Calibri" w:hAnsi="Calibri" w:cs="Calibri"/>
                <w:sz w:val="22"/>
                <w:szCs w:val="22"/>
              </w:rPr>
            </w:pPr>
            <w:r w:rsidRPr="006B2D85">
              <w:rPr>
                <w:rFonts w:ascii="Calibri" w:hAnsi="Calibri" w:cs="Calibri"/>
                <w:sz w:val="22"/>
                <w:szCs w:val="22"/>
              </w:rPr>
              <w:t>FSS Contract of Participation</w:t>
            </w:r>
          </w:p>
        </w:tc>
        <w:tc>
          <w:tcPr>
            <w:tcW w:w="2340" w:type="dxa"/>
            <w:shd w:val="clear" w:color="auto" w:fill="auto"/>
          </w:tcPr>
          <w:p w:rsidR="00FB54D8" w:rsidRPr="006B2D85" w:rsidRDefault="00FB54D8" w:rsidP="00D649FF">
            <w:pPr>
              <w:rPr>
                <w:rFonts w:ascii="Calibri" w:hAnsi="Calibri" w:cs="Calibri"/>
                <w:sz w:val="22"/>
                <w:szCs w:val="22"/>
              </w:rPr>
            </w:pPr>
            <w:r w:rsidRPr="006B2D85">
              <w:rPr>
                <w:rFonts w:ascii="Calibri" w:hAnsi="Calibri" w:cs="Calibri"/>
                <w:sz w:val="22"/>
                <w:szCs w:val="22"/>
              </w:rPr>
              <w:t>Provides for extensions to FSS contract of participation</w:t>
            </w:r>
          </w:p>
        </w:tc>
        <w:tc>
          <w:tcPr>
            <w:tcW w:w="1350" w:type="dxa"/>
            <w:shd w:val="clear" w:color="auto" w:fill="auto"/>
          </w:tcPr>
          <w:p w:rsidR="00FB54D8" w:rsidRPr="006B2D85" w:rsidRDefault="00FB54D8" w:rsidP="00D649FF">
            <w:pPr>
              <w:rPr>
                <w:rFonts w:ascii="Calibri" w:hAnsi="Calibri" w:cs="Calibri"/>
                <w:sz w:val="22"/>
                <w:szCs w:val="22"/>
              </w:rPr>
            </w:pPr>
            <w:r w:rsidRPr="006B2D85">
              <w:rPr>
                <w:rFonts w:ascii="Calibri" w:hAnsi="Calibri" w:cs="Calibri"/>
                <w:sz w:val="22"/>
                <w:szCs w:val="22"/>
              </w:rPr>
              <w:t>12/31/2020</w:t>
            </w:r>
          </w:p>
        </w:tc>
        <w:tc>
          <w:tcPr>
            <w:tcW w:w="2790" w:type="dxa"/>
            <w:shd w:val="clear" w:color="auto" w:fill="auto"/>
          </w:tcPr>
          <w:p w:rsidR="00FB54D8" w:rsidRPr="006B2D85" w:rsidRDefault="00C70A44" w:rsidP="006D2AE0">
            <w:pPr>
              <w:rPr>
                <w:rFonts w:ascii="Calibri" w:hAnsi="Calibri" w:cs="Calibri"/>
                <w:sz w:val="22"/>
                <w:szCs w:val="22"/>
              </w:rPr>
            </w:pPr>
            <w:r w:rsidRPr="006B2D85">
              <w:rPr>
                <w:rFonts w:ascii="Calibri" w:hAnsi="Calibri" w:cs="Calibri"/>
                <w:sz w:val="22"/>
                <w:szCs w:val="22"/>
              </w:rPr>
              <w:t>HACA</w:t>
            </w:r>
            <w:r w:rsidR="006D2AE0" w:rsidRPr="006B2D85">
              <w:rPr>
                <w:rFonts w:ascii="Calibri" w:hAnsi="Calibri" w:cs="Calibri"/>
                <w:sz w:val="22"/>
                <w:szCs w:val="22"/>
              </w:rPr>
              <w:t xml:space="preserve"> will, upon participant request, extend FSS Contract of Participation for up to two years until 12/31/20.</w:t>
            </w:r>
          </w:p>
        </w:tc>
        <w:tc>
          <w:tcPr>
            <w:tcW w:w="2970" w:type="dxa"/>
            <w:shd w:val="clear" w:color="auto" w:fill="auto"/>
          </w:tcPr>
          <w:p w:rsidR="00FB54D8" w:rsidRPr="006B2D85" w:rsidRDefault="006D2AE0" w:rsidP="00D649FF">
            <w:pPr>
              <w:rPr>
                <w:rFonts w:ascii="Calibri" w:hAnsi="Calibri" w:cs="Calibri"/>
                <w:sz w:val="22"/>
                <w:szCs w:val="22"/>
              </w:rPr>
            </w:pPr>
            <w:r w:rsidRPr="006B2D85">
              <w:rPr>
                <w:rFonts w:ascii="Calibri" w:hAnsi="Calibri" w:cs="Calibri"/>
                <w:sz w:val="22"/>
                <w:szCs w:val="22"/>
              </w:rPr>
              <w:t>This will allow participants additional time to meet their FSS goals.</w:t>
            </w:r>
          </w:p>
        </w:tc>
      </w:tr>
      <w:tr w:rsidR="00216E19" w:rsidRPr="00DB7740" w:rsidTr="00D73B00">
        <w:trPr>
          <w:trHeight w:val="3770"/>
        </w:trPr>
        <w:tc>
          <w:tcPr>
            <w:tcW w:w="1620" w:type="dxa"/>
            <w:shd w:val="clear" w:color="auto" w:fill="auto"/>
            <w:hideMark/>
          </w:tcPr>
          <w:p w:rsidR="00B34A67" w:rsidRPr="00DB7740" w:rsidRDefault="00B0198A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Initial </w:t>
            </w:r>
            <w:r w:rsidR="00B34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HQS 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inspection</w:t>
            </w:r>
          </w:p>
        </w:tc>
        <w:tc>
          <w:tcPr>
            <w:tcW w:w="2340" w:type="dxa"/>
            <w:shd w:val="clear" w:color="auto" w:fill="auto"/>
            <w:hideMark/>
          </w:tcPr>
          <w:p w:rsidR="00B0198A" w:rsidRPr="00DB7740" w:rsidRDefault="00B0198A" w:rsidP="00FB5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Changes initial </w:t>
            </w:r>
            <w:r w:rsidR="00B34A6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HQS 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inspection requirements, allowing for owner certification that there are no life-threatening deficiencies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350" w:type="dxa"/>
            <w:shd w:val="clear" w:color="auto" w:fill="auto"/>
            <w:hideMark/>
          </w:tcPr>
          <w:p w:rsidR="00D649FF" w:rsidRPr="00DB7740" w:rsidRDefault="00FB54D8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B0198A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/31/2020</w:t>
            </w:r>
            <w:r w:rsidR="00B0198A"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B0198A"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  <w:p w:rsidR="00D649FF" w:rsidRPr="00DB7740" w:rsidRDefault="00D649FF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649FF" w:rsidRPr="00DB7740" w:rsidRDefault="00D649FF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649FF" w:rsidRPr="00DB7740" w:rsidRDefault="00D649FF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A474B" w:rsidRDefault="002A474B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55208" w:rsidRDefault="00B55208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0198A" w:rsidRPr="00DB7740" w:rsidRDefault="00B0198A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  <w:hideMark/>
          </w:tcPr>
          <w:p w:rsidR="00B0198A" w:rsidRPr="00DB7740" w:rsidRDefault="00B34A67" w:rsidP="00036C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Initial inspections are done for new tenancies and the unit is u</w:t>
            </w:r>
            <w:r w:rsidR="00B3754D">
              <w:rPr>
                <w:rFonts w:ascii="Calibri" w:hAnsi="Calibri" w:cs="Calibri"/>
                <w:color w:val="000000"/>
                <w:sz w:val="22"/>
                <w:szCs w:val="22"/>
              </w:rPr>
              <w:t>sually vacant. HACA will inspec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 such units. </w:t>
            </w:r>
            <w:r w:rsidR="00F10A79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In instances where</w:t>
            </w:r>
            <w:r w:rsidR="00B0198A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 uni</w:t>
            </w:r>
            <w:r w:rsidR="00F10A79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 is occupied or the </w:t>
            </w:r>
            <w:r w:rsidR="00B0198A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owner won't m</w:t>
            </w:r>
            <w:r w:rsidR="00F10A79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eet with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HACA’s</w:t>
            </w:r>
            <w:r w:rsidR="00F10A79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inspector for COVID-related reasons, HACA </w:t>
            </w:r>
            <w:r w:rsidR="00B0198A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will accept photos and self-cert</w:t>
            </w:r>
            <w:r w:rsidR="00F10A79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ifications</w:t>
            </w:r>
            <w:r w:rsidR="00DC4F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until 12</w:t>
            </w:r>
            <w:r w:rsidR="009B4012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/31</w:t>
            </w:r>
            <w:r w:rsidR="006C3CC1">
              <w:rPr>
                <w:rFonts w:ascii="Calibri" w:hAnsi="Calibri" w:cs="Calibri"/>
                <w:color w:val="000000"/>
                <w:sz w:val="22"/>
                <w:szCs w:val="22"/>
              </w:rPr>
              <w:t>/20</w:t>
            </w:r>
            <w:r w:rsidR="009B4012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9B4012" w:rsidRPr="00DB7740" w:rsidRDefault="009B4012" w:rsidP="00036C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9B4012" w:rsidRPr="00DB7740" w:rsidRDefault="009B4012" w:rsidP="00036C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hideMark/>
          </w:tcPr>
          <w:p w:rsidR="00B0198A" w:rsidRDefault="00FA3BE8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HACA will contact the owner in advance of the inspection to determine if the unit is occupied. </w:t>
            </w:r>
          </w:p>
          <w:p w:rsidR="00D356FA" w:rsidRDefault="00D356FA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A3BE8" w:rsidRDefault="00D356FA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HACA will mail or email the required self-certification documents to the owner.</w:t>
            </w:r>
          </w:p>
          <w:p w:rsidR="00D356FA" w:rsidRDefault="00D356FA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16E19" w:rsidRDefault="00216E19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HACA will contact</w:t>
            </w:r>
            <w:r w:rsidR="00FA3B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</w:t>
            </w:r>
            <w:r w:rsidR="00E462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HCV</w:t>
            </w:r>
            <w:r w:rsidR="00FA3B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household at a later date to conduct the initial inspection by no later than </w:t>
            </w:r>
            <w:r w:rsidR="00DC4FB4" w:rsidRPr="00DC4FB4">
              <w:rPr>
                <w:rFonts w:ascii="Calibri" w:hAnsi="Calibri" w:cs="Calibri"/>
                <w:color w:val="000000"/>
                <w:sz w:val="22"/>
                <w:szCs w:val="22"/>
              </w:rPr>
              <w:t>1 year from the date of the owner's certification</w:t>
            </w:r>
          </w:p>
          <w:p w:rsidR="00216E19" w:rsidRPr="00DB7740" w:rsidRDefault="00216E19" w:rsidP="00D356F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16E19" w:rsidRPr="00DB7740" w:rsidTr="00C92841">
        <w:trPr>
          <w:trHeight w:val="2438"/>
        </w:trPr>
        <w:tc>
          <w:tcPr>
            <w:tcW w:w="1620" w:type="dxa"/>
            <w:shd w:val="clear" w:color="auto" w:fill="auto"/>
            <w:hideMark/>
          </w:tcPr>
          <w:p w:rsidR="00B0198A" w:rsidRPr="00DB7740" w:rsidRDefault="00B0198A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D3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and 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Biennial Inspections</w:t>
            </w:r>
          </w:p>
        </w:tc>
        <w:tc>
          <w:tcPr>
            <w:tcW w:w="2340" w:type="dxa"/>
            <w:shd w:val="clear" w:color="auto" w:fill="auto"/>
            <w:hideMark/>
          </w:tcPr>
          <w:p w:rsidR="00D73B00" w:rsidRDefault="00B0198A" w:rsidP="00D73B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Allows for delay in </w:t>
            </w:r>
            <w:r w:rsidR="00D3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and 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biennial inspections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  <w:p w:rsidR="00B0198A" w:rsidRPr="00DB7740" w:rsidRDefault="00B0198A" w:rsidP="00D73B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hideMark/>
          </w:tcPr>
          <w:p w:rsidR="00B0198A" w:rsidRPr="00DB7740" w:rsidRDefault="00B0198A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10/31/2020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B0198A" w:rsidRPr="00DB7740" w:rsidRDefault="00036C66" w:rsidP="00DC4F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HACA will delay</w:t>
            </w:r>
            <w:r w:rsidR="00D3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annual and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biennial inspections.</w:t>
            </w:r>
            <w:r w:rsidR="009B4012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However, delayed </w:t>
            </w:r>
            <w:r w:rsidR="00D3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and </w:t>
            </w:r>
            <w:r w:rsidR="009B4012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biennial inspections will be completed </w:t>
            </w:r>
            <w:r w:rsidR="00DC4FB4" w:rsidRPr="00DC4FB4">
              <w:rPr>
                <w:rFonts w:ascii="Calibri" w:hAnsi="Calibri" w:cs="Calibri"/>
                <w:color w:val="000000"/>
                <w:sz w:val="22"/>
                <w:szCs w:val="22"/>
              </w:rPr>
              <w:t>1 year after the date on which biennial inspection would have been required in the absence of the waiver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B0198A" w:rsidRPr="00DB7740" w:rsidRDefault="00FA3BE8" w:rsidP="00DC4F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3B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HACA will </w:t>
            </w:r>
            <w:r w:rsidR="00216E19">
              <w:rPr>
                <w:rFonts w:ascii="Calibri" w:hAnsi="Calibri" w:cs="Calibri"/>
                <w:color w:val="000000"/>
                <w:sz w:val="22"/>
                <w:szCs w:val="22"/>
              </w:rPr>
              <w:t>contact</w:t>
            </w:r>
            <w:r w:rsidRPr="00FA3B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</w:t>
            </w:r>
            <w:r w:rsidR="00E462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HCV</w:t>
            </w:r>
            <w:r w:rsidRPr="00FA3B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household at a later date to conduct the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356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Biennial inspection </w:t>
            </w:r>
            <w:r w:rsidRPr="00FA3BE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by no later than </w:t>
            </w:r>
            <w:r w:rsidR="00DC4FB4" w:rsidRPr="00DC4FB4">
              <w:rPr>
                <w:rFonts w:ascii="Calibri" w:hAnsi="Calibri" w:cs="Calibri"/>
                <w:color w:val="000000"/>
                <w:sz w:val="22"/>
                <w:szCs w:val="22"/>
              </w:rPr>
              <w:t>1 year after the date on which biennial inspection would have been required in the absence of the waiver</w:t>
            </w:r>
          </w:p>
        </w:tc>
      </w:tr>
      <w:tr w:rsidR="00C14656" w:rsidRPr="00DB7740" w:rsidTr="00C14656">
        <w:trPr>
          <w:trHeight w:val="1160"/>
        </w:trPr>
        <w:tc>
          <w:tcPr>
            <w:tcW w:w="1620" w:type="dxa"/>
            <w:shd w:val="clear" w:color="auto" w:fill="auto"/>
          </w:tcPr>
          <w:p w:rsidR="00C14656" w:rsidRPr="00DB7740" w:rsidRDefault="00C14656" w:rsidP="00B16B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774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Item</w:t>
            </w:r>
          </w:p>
        </w:tc>
        <w:tc>
          <w:tcPr>
            <w:tcW w:w="2340" w:type="dxa"/>
            <w:shd w:val="clear" w:color="auto" w:fill="auto"/>
          </w:tcPr>
          <w:p w:rsidR="00C14656" w:rsidRPr="00DB7740" w:rsidRDefault="00C14656" w:rsidP="00B16B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Permitted Waiver</w:t>
            </w:r>
          </w:p>
        </w:tc>
        <w:tc>
          <w:tcPr>
            <w:tcW w:w="1350" w:type="dxa"/>
            <w:shd w:val="clear" w:color="auto" w:fill="auto"/>
            <w:noWrap/>
          </w:tcPr>
          <w:p w:rsidR="00C14656" w:rsidRPr="00DB7740" w:rsidRDefault="00C14656" w:rsidP="00B16B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7740">
              <w:rPr>
                <w:rFonts w:ascii="Calibri" w:hAnsi="Calibri" w:cs="Calibri"/>
                <w:b/>
                <w:bCs/>
                <w:sz w:val="22"/>
                <w:szCs w:val="22"/>
              </w:rPr>
              <w:t>HUD-established Availability Period Ends</w:t>
            </w:r>
          </w:p>
        </w:tc>
        <w:tc>
          <w:tcPr>
            <w:tcW w:w="2790" w:type="dxa"/>
            <w:shd w:val="clear" w:color="auto" w:fill="auto"/>
          </w:tcPr>
          <w:p w:rsidR="00C14656" w:rsidRPr="00DB7740" w:rsidRDefault="00C14656" w:rsidP="00B16B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7740">
              <w:rPr>
                <w:rFonts w:ascii="Calibri" w:hAnsi="Calibri" w:cs="Calibri"/>
                <w:b/>
                <w:bCs/>
                <w:sz w:val="22"/>
                <w:szCs w:val="22"/>
              </w:rPr>
              <w:t>Implementation Summary</w:t>
            </w:r>
          </w:p>
        </w:tc>
        <w:tc>
          <w:tcPr>
            <w:tcW w:w="2970" w:type="dxa"/>
            <w:shd w:val="clear" w:color="auto" w:fill="auto"/>
            <w:noWrap/>
          </w:tcPr>
          <w:p w:rsidR="00C14656" w:rsidRPr="00DB7740" w:rsidRDefault="00C14656" w:rsidP="00B16B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Potential Impacts on Tenants and Owners</w:t>
            </w:r>
          </w:p>
        </w:tc>
      </w:tr>
      <w:tr w:rsidR="00C14656" w:rsidRPr="00DB7740" w:rsidTr="00C92841">
        <w:trPr>
          <w:trHeight w:val="1980"/>
        </w:trPr>
        <w:tc>
          <w:tcPr>
            <w:tcW w:w="1620" w:type="dxa"/>
            <w:shd w:val="clear" w:color="auto" w:fill="auto"/>
            <w:hideMark/>
          </w:tcPr>
          <w:p w:rsidR="00C14656" w:rsidRPr="00DB7740" w:rsidRDefault="00C14656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Interim Inspections</w:t>
            </w:r>
          </w:p>
        </w:tc>
        <w:tc>
          <w:tcPr>
            <w:tcW w:w="2340" w:type="dxa"/>
            <w:shd w:val="clear" w:color="auto" w:fill="auto"/>
            <w:hideMark/>
          </w:tcPr>
          <w:p w:rsidR="00C14656" w:rsidRPr="00DB7740" w:rsidRDefault="00C14656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Waives the requirement for the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authority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conduct interim inspection and requires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 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alternative method 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Allows for repairs to be verified by alternative methods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C14656" w:rsidRPr="00DB7740" w:rsidRDefault="00372539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C14656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/31/2020</w:t>
            </w:r>
          </w:p>
        </w:tc>
        <w:tc>
          <w:tcPr>
            <w:tcW w:w="2790" w:type="dxa"/>
            <w:shd w:val="clear" w:color="auto" w:fill="auto"/>
            <w:hideMark/>
          </w:tcPr>
          <w:p w:rsidR="00C14656" w:rsidRPr="00DB7740" w:rsidRDefault="00C14656" w:rsidP="00FA3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HACA will accept self-certifications with photos on life threatening and non-lif</w:t>
            </w:r>
            <w:r w:rsidR="00372539">
              <w:rPr>
                <w:rFonts w:ascii="Calibri" w:hAnsi="Calibri" w:cs="Calibri"/>
                <w:color w:val="000000"/>
                <w:sz w:val="22"/>
                <w:szCs w:val="22"/>
              </w:rPr>
              <w:t>e threatening fail items until 12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/31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both instances, b</w:t>
            </w:r>
            <w:r w:rsidR="00C83738">
              <w:rPr>
                <w:rFonts w:ascii="Calibri" w:hAnsi="Calibri" w:cs="Calibri"/>
                <w:color w:val="000000"/>
                <w:sz w:val="22"/>
                <w:szCs w:val="22"/>
              </w:rPr>
              <w:t>oth the owner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the tenant must provide the self-certification. 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C14656" w:rsidRPr="00DB7740" w:rsidRDefault="00C14656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HACA will email or mail the request for self-certification to the tenant and the owner separately and responses from both are required. Photos showing </w:t>
            </w:r>
            <w:r w:rsidR="00183B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failed items are corrected must be submitted by either the owner or the tenant.</w:t>
            </w:r>
          </w:p>
        </w:tc>
      </w:tr>
      <w:tr w:rsidR="00C14656" w:rsidRPr="00DB7740" w:rsidTr="00C92841">
        <w:trPr>
          <w:trHeight w:val="962"/>
        </w:trPr>
        <w:tc>
          <w:tcPr>
            <w:tcW w:w="1620" w:type="dxa"/>
            <w:shd w:val="clear" w:color="auto" w:fill="auto"/>
            <w:hideMark/>
          </w:tcPr>
          <w:p w:rsidR="00C14656" w:rsidRPr="00DB7740" w:rsidRDefault="00C14656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HQS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Quality Control (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QC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Inspections</w:t>
            </w:r>
          </w:p>
        </w:tc>
        <w:tc>
          <w:tcPr>
            <w:tcW w:w="2340" w:type="dxa"/>
            <w:shd w:val="clear" w:color="auto" w:fill="auto"/>
            <w:hideMark/>
          </w:tcPr>
          <w:p w:rsidR="00C14656" w:rsidRPr="00DB7740" w:rsidRDefault="00C14656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Provides for a suspension of the requirement for QC sampling inspections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C14656" w:rsidRPr="00DB7740" w:rsidRDefault="00372539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C14656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/31/2020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C14656" w:rsidRPr="00DB7740" w:rsidRDefault="00C14656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HACA will suspend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QC</w:t>
            </w:r>
            <w:r w:rsidR="0037253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sampling inspections until 12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/31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C14656" w:rsidRPr="00DB7740" w:rsidRDefault="00C14656" w:rsidP="00770E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impact</w:t>
            </w:r>
          </w:p>
        </w:tc>
      </w:tr>
      <w:tr w:rsidR="00372539" w:rsidRPr="00DB7740" w:rsidTr="00C92841">
        <w:trPr>
          <w:trHeight w:val="962"/>
        </w:trPr>
        <w:tc>
          <w:tcPr>
            <w:tcW w:w="1620" w:type="dxa"/>
            <w:shd w:val="clear" w:color="auto" w:fill="auto"/>
          </w:tcPr>
          <w:p w:rsidR="00372539" w:rsidRPr="006B2D85" w:rsidRDefault="00372539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72539" w:rsidRPr="006B2D85" w:rsidRDefault="00372539" w:rsidP="00372539">
            <w:pPr>
              <w:rPr>
                <w:rFonts w:ascii="Calibri" w:hAnsi="Calibri" w:cs="Calibri"/>
                <w:sz w:val="22"/>
                <w:szCs w:val="22"/>
              </w:rPr>
            </w:pPr>
            <w:r w:rsidRPr="006B2D85">
              <w:rPr>
                <w:rFonts w:ascii="Calibri" w:hAnsi="Calibri" w:cs="Calibri"/>
                <w:sz w:val="22"/>
                <w:szCs w:val="22"/>
              </w:rPr>
              <w:t>Home Ownership HQS</w:t>
            </w:r>
          </w:p>
        </w:tc>
        <w:tc>
          <w:tcPr>
            <w:tcW w:w="2340" w:type="dxa"/>
            <w:shd w:val="clear" w:color="auto" w:fill="auto"/>
          </w:tcPr>
          <w:p w:rsidR="00372539" w:rsidRPr="006B2D85" w:rsidRDefault="00372539" w:rsidP="00372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D85">
              <w:rPr>
                <w:rFonts w:ascii="Calibri" w:hAnsi="Calibri" w:cs="Calibri"/>
                <w:color w:val="000000"/>
                <w:sz w:val="22"/>
                <w:szCs w:val="22"/>
              </w:rPr>
              <w:t>Waives the requirement to perform an initial HQS inspection in order to begin making homeownership assistance payments</w:t>
            </w:r>
          </w:p>
          <w:p w:rsidR="00372539" w:rsidRPr="006B2D85" w:rsidRDefault="00372539" w:rsidP="00372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72539" w:rsidRPr="006B2D85" w:rsidRDefault="00372539" w:rsidP="00372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D85">
              <w:rPr>
                <w:rFonts w:ascii="Calibri" w:hAnsi="Calibri" w:cs="Calibri"/>
                <w:color w:val="000000"/>
                <w:sz w:val="22"/>
                <w:szCs w:val="22"/>
              </w:rPr>
              <w:t>Requires family to obtain independent professional inspection</w:t>
            </w:r>
          </w:p>
          <w:p w:rsidR="00372539" w:rsidRPr="006B2D85" w:rsidRDefault="00372539" w:rsidP="00372539">
            <w:pPr>
              <w:ind w:firstLine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:rsidR="00372539" w:rsidRPr="006B2D85" w:rsidRDefault="00372539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D85">
              <w:rPr>
                <w:rFonts w:ascii="Calibri" w:hAnsi="Calibri" w:cs="Calibri"/>
                <w:color w:val="000000"/>
                <w:sz w:val="22"/>
                <w:szCs w:val="22"/>
              </w:rPr>
              <w:t>12/31/2020</w:t>
            </w:r>
          </w:p>
        </w:tc>
        <w:tc>
          <w:tcPr>
            <w:tcW w:w="2790" w:type="dxa"/>
            <w:shd w:val="clear" w:color="auto" w:fill="auto"/>
            <w:noWrap/>
          </w:tcPr>
          <w:p w:rsidR="00372539" w:rsidRPr="006B2D85" w:rsidRDefault="00BA4855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D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HACA will review the independent professional inspection </w:t>
            </w:r>
            <w:r w:rsidR="006D2AE0" w:rsidRPr="006B2D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report </w:t>
            </w:r>
            <w:r w:rsidRPr="006B2D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 lieu of conducting an HQS inspection until 12/31/20. </w:t>
            </w:r>
          </w:p>
          <w:p w:rsidR="006D2AE0" w:rsidRPr="006B2D85" w:rsidRDefault="006D2AE0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D2AE0" w:rsidRPr="006B2D85" w:rsidRDefault="006D2AE0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D85">
              <w:rPr>
                <w:rFonts w:ascii="Calibri" w:hAnsi="Calibri" w:cs="Calibri"/>
                <w:color w:val="000000"/>
                <w:sz w:val="22"/>
                <w:szCs w:val="22"/>
              </w:rPr>
              <w:t>HACA retains discretion to disapprove the unit for assistance because of information in the inspection report in accordance with 24 CFR 982.631(b)(4).</w:t>
            </w:r>
          </w:p>
        </w:tc>
        <w:tc>
          <w:tcPr>
            <w:tcW w:w="2970" w:type="dxa"/>
            <w:shd w:val="clear" w:color="auto" w:fill="auto"/>
            <w:noWrap/>
          </w:tcPr>
          <w:p w:rsidR="006D2AE0" w:rsidRPr="006B2D85" w:rsidRDefault="006B2D85" w:rsidP="006B2D8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 impact</w:t>
            </w:r>
          </w:p>
        </w:tc>
      </w:tr>
      <w:tr w:rsidR="00C14656" w:rsidRPr="00DB7740" w:rsidTr="00C92841">
        <w:trPr>
          <w:trHeight w:val="1700"/>
        </w:trPr>
        <w:tc>
          <w:tcPr>
            <w:tcW w:w="1620" w:type="dxa"/>
            <w:shd w:val="clear" w:color="auto" w:fill="auto"/>
            <w:hideMark/>
          </w:tcPr>
          <w:p w:rsidR="00C14656" w:rsidRPr="00DB7740" w:rsidRDefault="00C14656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Oral Briefing</w:t>
            </w:r>
          </w:p>
        </w:tc>
        <w:tc>
          <w:tcPr>
            <w:tcW w:w="2340" w:type="dxa"/>
            <w:shd w:val="clear" w:color="auto" w:fill="auto"/>
            <w:hideMark/>
          </w:tcPr>
          <w:p w:rsidR="00C14656" w:rsidRPr="00DB7740" w:rsidRDefault="00C14656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Waives the requirement for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housing authority to perform 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an oral briefing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when it issues vouchers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Provides for alternative methods to conduct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required voucher briefing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C14656" w:rsidRPr="00DB7740" w:rsidRDefault="00372539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C14656"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/31/2020</w:t>
            </w:r>
          </w:p>
        </w:tc>
        <w:tc>
          <w:tcPr>
            <w:tcW w:w="2790" w:type="dxa"/>
            <w:shd w:val="clear" w:color="auto" w:fill="auto"/>
            <w:hideMark/>
          </w:tcPr>
          <w:p w:rsidR="00C14656" w:rsidRPr="00DB7740" w:rsidRDefault="00C14656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HACA will provide oral briefings via telephone along with its regular </w:t>
            </w:r>
            <w:r w:rsidR="00372539">
              <w:rPr>
                <w:rFonts w:ascii="Calibri" w:hAnsi="Calibri" w:cs="Calibri"/>
                <w:color w:val="000000"/>
                <w:sz w:val="22"/>
                <w:szCs w:val="22"/>
              </w:rPr>
              <w:t>briefing packet until 12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/31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C14656" w:rsidRPr="00DB7740" w:rsidRDefault="00C14656" w:rsidP="008A03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03DA">
              <w:rPr>
                <w:rFonts w:ascii="Calibri" w:hAnsi="Calibri" w:cs="Calibri"/>
                <w:color w:val="000000"/>
                <w:sz w:val="22"/>
                <w:szCs w:val="22"/>
              </w:rPr>
              <w:t>HACA will mail the briefing packet and all applicable forms in advance of the briefing and sche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dule a call with the applicant</w:t>
            </w:r>
            <w:r w:rsidRPr="008A03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go over the documents.</w:t>
            </w:r>
          </w:p>
        </w:tc>
      </w:tr>
      <w:tr w:rsidR="00372539" w:rsidRPr="00DB7740" w:rsidTr="00C92841">
        <w:trPr>
          <w:trHeight w:val="1700"/>
        </w:trPr>
        <w:tc>
          <w:tcPr>
            <w:tcW w:w="1620" w:type="dxa"/>
            <w:shd w:val="clear" w:color="auto" w:fill="auto"/>
          </w:tcPr>
          <w:p w:rsidR="00372539" w:rsidRPr="006B2D85" w:rsidRDefault="00372539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D85">
              <w:rPr>
                <w:rFonts w:ascii="Calibri" w:hAnsi="Calibri" w:cs="Calibri"/>
                <w:color w:val="000000"/>
                <w:sz w:val="22"/>
                <w:szCs w:val="22"/>
              </w:rPr>
              <w:t>PHA Approval of Assisted Tenancy</w:t>
            </w:r>
          </w:p>
        </w:tc>
        <w:tc>
          <w:tcPr>
            <w:tcW w:w="2340" w:type="dxa"/>
            <w:shd w:val="clear" w:color="auto" w:fill="auto"/>
          </w:tcPr>
          <w:p w:rsidR="00372539" w:rsidRPr="006B2D85" w:rsidRDefault="00372539" w:rsidP="00372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D85">
              <w:rPr>
                <w:rFonts w:ascii="Calibri" w:hAnsi="Calibri" w:cs="Calibri"/>
                <w:color w:val="000000"/>
                <w:sz w:val="22"/>
                <w:szCs w:val="22"/>
              </w:rPr>
              <w:t>Provides for HAP payments for contracts not executed within 60 days</w:t>
            </w:r>
          </w:p>
          <w:p w:rsidR="00372539" w:rsidRPr="006B2D85" w:rsidRDefault="00372539" w:rsidP="00372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372539" w:rsidRPr="006B2D85" w:rsidRDefault="00372539" w:rsidP="003725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D85">
              <w:rPr>
                <w:rFonts w:ascii="Calibri" w:hAnsi="Calibri" w:cs="Calibri"/>
                <w:color w:val="000000"/>
                <w:sz w:val="22"/>
                <w:szCs w:val="22"/>
              </w:rPr>
              <w:t>PHA must not pay HAP to owner until HAP contract is executed</w:t>
            </w:r>
          </w:p>
        </w:tc>
        <w:tc>
          <w:tcPr>
            <w:tcW w:w="1350" w:type="dxa"/>
            <w:shd w:val="clear" w:color="auto" w:fill="auto"/>
            <w:noWrap/>
          </w:tcPr>
          <w:p w:rsidR="00372539" w:rsidRPr="006B2D85" w:rsidRDefault="00372539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D85">
              <w:rPr>
                <w:rFonts w:ascii="Calibri" w:hAnsi="Calibri" w:cs="Calibri"/>
                <w:color w:val="000000"/>
                <w:sz w:val="22"/>
                <w:szCs w:val="22"/>
              </w:rPr>
              <w:t>12/31/2020</w:t>
            </w:r>
          </w:p>
        </w:tc>
        <w:tc>
          <w:tcPr>
            <w:tcW w:w="2790" w:type="dxa"/>
            <w:shd w:val="clear" w:color="auto" w:fill="auto"/>
          </w:tcPr>
          <w:p w:rsidR="00372539" w:rsidRPr="006B2D85" w:rsidRDefault="00C70A44" w:rsidP="00BA4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D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HACA will </w:t>
            </w:r>
            <w:r w:rsidR="00BA4855" w:rsidRPr="006B2D85">
              <w:rPr>
                <w:rFonts w:ascii="Calibri" w:hAnsi="Calibri" w:cs="Calibri"/>
                <w:color w:val="000000"/>
                <w:sz w:val="22"/>
                <w:szCs w:val="22"/>
              </w:rPr>
              <w:t>execute HAP contracts within 120 days from the beginning of the lease term until 12/31/20.</w:t>
            </w:r>
          </w:p>
        </w:tc>
        <w:tc>
          <w:tcPr>
            <w:tcW w:w="2970" w:type="dxa"/>
            <w:shd w:val="clear" w:color="auto" w:fill="auto"/>
            <w:noWrap/>
          </w:tcPr>
          <w:p w:rsidR="00372539" w:rsidRPr="006B2D85" w:rsidRDefault="006D2AE0" w:rsidP="008A03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D85">
              <w:rPr>
                <w:rFonts w:ascii="Calibri" w:hAnsi="Calibri" w:cs="Calibri"/>
                <w:color w:val="000000"/>
                <w:sz w:val="22"/>
                <w:szCs w:val="22"/>
              </w:rPr>
              <w:t>No impact.</w:t>
            </w:r>
          </w:p>
        </w:tc>
      </w:tr>
      <w:tr w:rsidR="00372539" w:rsidRPr="00DB7740" w:rsidTr="00372539">
        <w:trPr>
          <w:trHeight w:val="1160"/>
        </w:trPr>
        <w:tc>
          <w:tcPr>
            <w:tcW w:w="1620" w:type="dxa"/>
            <w:shd w:val="clear" w:color="auto" w:fill="auto"/>
          </w:tcPr>
          <w:p w:rsidR="00372539" w:rsidRPr="00DB7740" w:rsidRDefault="00372539" w:rsidP="003725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Item</w:t>
            </w:r>
          </w:p>
        </w:tc>
        <w:tc>
          <w:tcPr>
            <w:tcW w:w="2340" w:type="dxa"/>
            <w:shd w:val="clear" w:color="auto" w:fill="auto"/>
          </w:tcPr>
          <w:p w:rsidR="00372539" w:rsidRPr="00DB7740" w:rsidRDefault="00372539" w:rsidP="003725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Permitted Waiver</w:t>
            </w:r>
          </w:p>
        </w:tc>
        <w:tc>
          <w:tcPr>
            <w:tcW w:w="1350" w:type="dxa"/>
            <w:shd w:val="clear" w:color="auto" w:fill="auto"/>
            <w:noWrap/>
          </w:tcPr>
          <w:p w:rsidR="00372539" w:rsidRPr="00DB7740" w:rsidRDefault="00372539" w:rsidP="003725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b/>
                <w:bCs/>
                <w:sz w:val="22"/>
                <w:szCs w:val="22"/>
              </w:rPr>
              <w:t>HUD-established Availability Period Ends</w:t>
            </w:r>
          </w:p>
        </w:tc>
        <w:tc>
          <w:tcPr>
            <w:tcW w:w="2790" w:type="dxa"/>
            <w:shd w:val="clear" w:color="auto" w:fill="auto"/>
          </w:tcPr>
          <w:p w:rsidR="00372539" w:rsidRPr="00DB7740" w:rsidRDefault="00372539" w:rsidP="003725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b/>
                <w:bCs/>
                <w:sz w:val="22"/>
                <w:szCs w:val="22"/>
              </w:rPr>
              <w:t>Implementation Summary</w:t>
            </w:r>
          </w:p>
        </w:tc>
        <w:tc>
          <w:tcPr>
            <w:tcW w:w="2970" w:type="dxa"/>
            <w:shd w:val="clear" w:color="auto" w:fill="auto"/>
            <w:noWrap/>
          </w:tcPr>
          <w:p w:rsidR="00372539" w:rsidRDefault="00372539" w:rsidP="003725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Potential Impacts on Tenants and Owners</w:t>
            </w:r>
          </w:p>
        </w:tc>
      </w:tr>
      <w:tr w:rsidR="00C14656" w:rsidRPr="00DB7740" w:rsidTr="00C92841">
        <w:trPr>
          <w:trHeight w:val="1700"/>
        </w:trPr>
        <w:tc>
          <w:tcPr>
            <w:tcW w:w="1620" w:type="dxa"/>
            <w:shd w:val="clear" w:color="auto" w:fill="auto"/>
            <w:hideMark/>
          </w:tcPr>
          <w:p w:rsidR="00C14656" w:rsidRPr="00DB7740" w:rsidRDefault="00C14656" w:rsidP="00A34B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utomatic Termination of the HAP Contract</w:t>
            </w:r>
          </w:p>
        </w:tc>
        <w:tc>
          <w:tcPr>
            <w:tcW w:w="2340" w:type="dxa"/>
            <w:shd w:val="clear" w:color="auto" w:fill="auto"/>
            <w:hideMark/>
          </w:tcPr>
          <w:p w:rsidR="00C14656" w:rsidRPr="00DB7740" w:rsidRDefault="00C14656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Allows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housing authority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extend the period of time after the last HAP payment is made before the HAP contract terminates automatically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C14656" w:rsidRPr="00DB7740" w:rsidRDefault="00C14656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12/31/2020</w:t>
            </w:r>
          </w:p>
        </w:tc>
        <w:tc>
          <w:tcPr>
            <w:tcW w:w="2790" w:type="dxa"/>
            <w:shd w:val="clear" w:color="auto" w:fill="auto"/>
            <w:hideMark/>
          </w:tcPr>
          <w:p w:rsidR="00C14656" w:rsidRPr="00DB7740" w:rsidRDefault="00C14656" w:rsidP="009B40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HACA will extend the period of time before the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HAP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contract terminates automatically until 12/31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C14656" w:rsidRPr="00DB7740" w:rsidRDefault="00C14656" w:rsidP="00122D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Affected HCV </w:t>
            </w:r>
            <w:r w:rsidR="00C83738">
              <w:rPr>
                <w:rFonts w:ascii="Calibri" w:hAnsi="Calibri" w:cs="Calibri"/>
                <w:color w:val="000000"/>
                <w:sz w:val="22"/>
                <w:szCs w:val="22"/>
              </w:rPr>
              <w:t>tenant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will be contacted by mail.</w:t>
            </w:r>
          </w:p>
        </w:tc>
      </w:tr>
      <w:tr w:rsidR="00C14656" w:rsidRPr="00DB7740" w:rsidTr="00C92841">
        <w:trPr>
          <w:trHeight w:val="980"/>
        </w:trPr>
        <w:tc>
          <w:tcPr>
            <w:tcW w:w="1620" w:type="dxa"/>
            <w:shd w:val="clear" w:color="auto" w:fill="auto"/>
            <w:hideMark/>
          </w:tcPr>
          <w:p w:rsidR="00C14656" w:rsidRPr="00DB7740" w:rsidRDefault="00C14656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Foster Youth to Independence (FYI) Initiative</w:t>
            </w:r>
          </w:p>
        </w:tc>
        <w:tc>
          <w:tcPr>
            <w:tcW w:w="2340" w:type="dxa"/>
            <w:shd w:val="clear" w:color="auto" w:fill="auto"/>
            <w:hideMark/>
          </w:tcPr>
          <w:p w:rsidR="00C14656" w:rsidRPr="00DB7740" w:rsidRDefault="00C14656" w:rsidP="00594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Allows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housing authorities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increase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by one year the 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age for foster youth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lease up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from under 25 to under 26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C14656" w:rsidRPr="00DB7740" w:rsidRDefault="00C14656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12/31/2020</w:t>
            </w:r>
          </w:p>
        </w:tc>
        <w:tc>
          <w:tcPr>
            <w:tcW w:w="2790" w:type="dxa"/>
            <w:shd w:val="clear" w:color="auto" w:fill="auto"/>
            <w:noWrap/>
            <w:hideMark/>
          </w:tcPr>
          <w:p w:rsidR="00C14656" w:rsidRPr="00DB7740" w:rsidRDefault="00C14656" w:rsidP="00594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Participants in the Foster Youth to Independence (FYI) Initiative are now able to lease a unit so long as they lease the unit before their 26</w:t>
            </w:r>
            <w:r w:rsidRPr="001D2B47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birthday. This waiver is effective until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12/31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</w:t>
            </w:r>
            <w:r w:rsidRPr="00DB774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:rsidR="00C14656" w:rsidRPr="00DB7740" w:rsidRDefault="00C14656" w:rsidP="00EA4A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HACA understands that </w:t>
            </w:r>
            <w:r w:rsidR="00C83738">
              <w:rPr>
                <w:rFonts w:ascii="Calibri" w:hAnsi="Calibri" w:cs="Calibri"/>
                <w:color w:val="000000"/>
                <w:sz w:val="22"/>
                <w:szCs w:val="22"/>
              </w:rPr>
              <w:t>owner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may not be showing properties</w:t>
            </w:r>
            <w:r w:rsidR="008655B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 this time. This waiver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provide</w:t>
            </w:r>
            <w:r w:rsidR="008655B2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 extension to an otherwise eligible foster youth participant to find a unit after the shelter in place orders have been lifted. </w:t>
            </w:r>
          </w:p>
        </w:tc>
      </w:tr>
      <w:tr w:rsidR="006B2D85" w:rsidRPr="00DB7740" w:rsidTr="00C92841">
        <w:trPr>
          <w:trHeight w:val="980"/>
        </w:trPr>
        <w:tc>
          <w:tcPr>
            <w:tcW w:w="1620" w:type="dxa"/>
            <w:shd w:val="clear" w:color="auto" w:fill="auto"/>
          </w:tcPr>
          <w:p w:rsidR="006B2D85" w:rsidRDefault="006B2D85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 Rehab Inspection Requirement</w:t>
            </w:r>
          </w:p>
        </w:tc>
        <w:tc>
          <w:tcPr>
            <w:tcW w:w="2340" w:type="dxa"/>
            <w:shd w:val="clear" w:color="auto" w:fill="auto"/>
          </w:tcPr>
          <w:p w:rsidR="006B2D85" w:rsidRPr="00DB7740" w:rsidRDefault="006B2D85" w:rsidP="006B2D8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6B2D8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nnual inspections: PHAs may delay annual inspections for Mod Rehab units. </w:t>
            </w:r>
          </w:p>
        </w:tc>
        <w:tc>
          <w:tcPr>
            <w:tcW w:w="1350" w:type="dxa"/>
            <w:shd w:val="clear" w:color="auto" w:fill="auto"/>
            <w:noWrap/>
          </w:tcPr>
          <w:p w:rsidR="006B2D85" w:rsidRPr="00DB7740" w:rsidRDefault="006B2D85" w:rsidP="00D649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12/31/2020</w:t>
            </w:r>
          </w:p>
        </w:tc>
        <w:tc>
          <w:tcPr>
            <w:tcW w:w="2790" w:type="dxa"/>
            <w:shd w:val="clear" w:color="auto" w:fill="auto"/>
            <w:noWrap/>
          </w:tcPr>
          <w:p w:rsidR="006B2D85" w:rsidRDefault="006B2D85" w:rsidP="00594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D85">
              <w:rPr>
                <w:rFonts w:ascii="Calibri" w:hAnsi="Calibri" w:cs="Calibri"/>
                <w:color w:val="000000"/>
                <w:sz w:val="22"/>
                <w:szCs w:val="22"/>
              </w:rPr>
              <w:t>Delayed inspections must be completed as soon as reasonably possible but no later than one year after the date the annual inspection would have been required.</w:t>
            </w:r>
          </w:p>
        </w:tc>
        <w:tc>
          <w:tcPr>
            <w:tcW w:w="2970" w:type="dxa"/>
            <w:shd w:val="clear" w:color="auto" w:fill="auto"/>
            <w:noWrap/>
          </w:tcPr>
          <w:p w:rsidR="006B2D85" w:rsidRDefault="006B2D85" w:rsidP="00EA4A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B0198A" w:rsidRPr="00DB7740" w:rsidRDefault="00B0198A" w:rsidP="00D649FF">
      <w:pPr>
        <w:rPr>
          <w:rFonts w:ascii="Calibri" w:hAnsi="Calibri" w:cs="Calibri"/>
          <w:sz w:val="22"/>
          <w:szCs w:val="22"/>
        </w:rPr>
      </w:pPr>
    </w:p>
    <w:p w:rsidR="00036C66" w:rsidRDefault="00036C66" w:rsidP="00D649FF">
      <w:pPr>
        <w:rPr>
          <w:rFonts w:ascii="Calibri" w:hAnsi="Calibri" w:cs="Calibri"/>
          <w:sz w:val="22"/>
          <w:szCs w:val="22"/>
        </w:rPr>
      </w:pPr>
      <w:r w:rsidRPr="00DB7740">
        <w:rPr>
          <w:rFonts w:ascii="Calibri" w:hAnsi="Calibri" w:cs="Calibri"/>
          <w:sz w:val="22"/>
          <w:szCs w:val="22"/>
        </w:rPr>
        <w:t xml:space="preserve">HACA may implement additional waivers at the Executive Director’s discretion. </w:t>
      </w:r>
      <w:r w:rsidR="009B4012" w:rsidRPr="00DB7740">
        <w:rPr>
          <w:rFonts w:ascii="Calibri" w:hAnsi="Calibri" w:cs="Calibri"/>
          <w:sz w:val="22"/>
          <w:szCs w:val="22"/>
        </w:rPr>
        <w:t>Additionally</w:t>
      </w:r>
      <w:r w:rsidRPr="00DB7740">
        <w:rPr>
          <w:rFonts w:ascii="Calibri" w:hAnsi="Calibri" w:cs="Calibri"/>
          <w:sz w:val="22"/>
          <w:szCs w:val="22"/>
        </w:rPr>
        <w:t xml:space="preserve">, the availability </w:t>
      </w:r>
      <w:r w:rsidR="009B4012" w:rsidRPr="00DB7740">
        <w:rPr>
          <w:rFonts w:ascii="Calibri" w:hAnsi="Calibri" w:cs="Calibri"/>
          <w:sz w:val="22"/>
          <w:szCs w:val="22"/>
        </w:rPr>
        <w:t xml:space="preserve">periods </w:t>
      </w:r>
      <w:r w:rsidRPr="00DB7740">
        <w:rPr>
          <w:rFonts w:ascii="Calibri" w:hAnsi="Calibri" w:cs="Calibri"/>
          <w:sz w:val="22"/>
          <w:szCs w:val="22"/>
        </w:rPr>
        <w:t>of these waivers are subject to change</w:t>
      </w:r>
      <w:r w:rsidR="0095053F">
        <w:rPr>
          <w:rFonts w:ascii="Calibri" w:hAnsi="Calibri" w:cs="Calibri"/>
          <w:sz w:val="22"/>
          <w:szCs w:val="22"/>
        </w:rPr>
        <w:t xml:space="preserve"> either by HACA or HUD</w:t>
      </w:r>
      <w:r w:rsidRPr="00DB7740">
        <w:rPr>
          <w:rFonts w:ascii="Calibri" w:hAnsi="Calibri" w:cs="Calibri"/>
          <w:sz w:val="22"/>
          <w:szCs w:val="22"/>
        </w:rPr>
        <w:t>.</w:t>
      </w:r>
    </w:p>
    <w:p w:rsidR="001F2FB9" w:rsidRDefault="001F2FB9" w:rsidP="00D649FF">
      <w:pPr>
        <w:rPr>
          <w:rFonts w:ascii="Calibri" w:hAnsi="Calibri" w:cs="Calibri"/>
          <w:sz w:val="22"/>
          <w:szCs w:val="22"/>
        </w:rPr>
      </w:pPr>
    </w:p>
    <w:p w:rsidR="001F2FB9" w:rsidRPr="001F2FB9" w:rsidRDefault="001F2FB9" w:rsidP="001F2FB9">
      <w:pPr>
        <w:rPr>
          <w:rFonts w:ascii="Calibri" w:hAnsi="Calibri" w:cs="Calibri"/>
          <w:lang w:val="es-ES"/>
        </w:rPr>
      </w:pPr>
      <w:r w:rsidRPr="001F2FB9">
        <w:rPr>
          <w:rFonts w:ascii="Calibri" w:hAnsi="Calibri" w:cs="Calibri"/>
          <w:lang w:val="es-ES"/>
        </w:rPr>
        <w:t>Para asistencia en español llame (510) 727-8578.</w:t>
      </w:r>
    </w:p>
    <w:p w:rsidR="001F2FB9" w:rsidRPr="001F2FB9" w:rsidRDefault="001F2FB9" w:rsidP="001F2FB9">
      <w:pPr>
        <w:rPr>
          <w:rFonts w:ascii="Calibri" w:hAnsi="Calibri" w:cs="Calibri"/>
          <w:lang w:val="es-ES"/>
        </w:rPr>
      </w:pPr>
      <w:r w:rsidRPr="001F2FB9">
        <w:rPr>
          <w:rFonts w:ascii="Calibri" w:hAnsi="Calibri" w:cs="Calibri" w:hint="cs"/>
          <w:rtl/>
          <w:lang w:bidi="fa-IR"/>
        </w:rPr>
        <w:t>برای کمک در تماس فارسی</w:t>
      </w:r>
      <w:r w:rsidRPr="001F2FB9">
        <w:rPr>
          <w:rFonts w:ascii="Calibri" w:hAnsi="Calibri" w:cs="Calibri"/>
          <w:lang w:val="es-ES"/>
        </w:rPr>
        <w:t xml:space="preserve"> (510) 727-8547.</w:t>
      </w:r>
    </w:p>
    <w:p w:rsidR="001F2FB9" w:rsidRPr="001F2FB9" w:rsidRDefault="001F2FB9" w:rsidP="001F2FB9">
      <w:pPr>
        <w:rPr>
          <w:rFonts w:ascii="Calibri" w:hAnsi="Calibri" w:cs="Calibri"/>
          <w:lang w:val="es-ES"/>
        </w:rPr>
      </w:pPr>
      <w:r w:rsidRPr="001F2FB9">
        <w:rPr>
          <w:rFonts w:ascii="Calibri" w:hAnsi="Calibri" w:cs="Calibri"/>
          <w:lang w:val="vi-VN"/>
        </w:rPr>
        <w:t>Để được hỗ trợ bằng tiếng Việt</w:t>
      </w:r>
      <w:r w:rsidRPr="001F2FB9">
        <w:rPr>
          <w:rFonts w:ascii="Calibri" w:hAnsi="Calibri" w:cs="Calibri"/>
          <w:lang w:val="es-ES"/>
        </w:rPr>
        <w:t xml:space="preserve"> (510) 727-8584.</w:t>
      </w:r>
    </w:p>
    <w:p w:rsidR="001F2FB9" w:rsidRPr="001F2FB9" w:rsidRDefault="001F2FB9" w:rsidP="00D649FF">
      <w:pPr>
        <w:rPr>
          <w:rFonts w:ascii="Calibri" w:hAnsi="Calibri" w:cs="Calibri"/>
          <w:sz w:val="22"/>
          <w:szCs w:val="22"/>
          <w:lang w:val="es-ES"/>
        </w:rPr>
      </w:pPr>
    </w:p>
    <w:sectPr w:rsidR="001F2FB9" w:rsidRPr="001F2FB9" w:rsidSect="001F2FB9">
      <w:footerReference w:type="default" r:id="rId10"/>
      <w:pgSz w:w="12240" w:h="15840" w:code="1"/>
      <w:pgMar w:top="720" w:right="720" w:bottom="720" w:left="72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C3" w:rsidRDefault="00AA7CC3">
      <w:r>
        <w:separator/>
      </w:r>
    </w:p>
  </w:endnote>
  <w:endnote w:type="continuationSeparator" w:id="0">
    <w:p w:rsidR="00AA7CC3" w:rsidRDefault="00AA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001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2841" w:rsidRDefault="00C928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D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92841" w:rsidRDefault="00C928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C3" w:rsidRDefault="00AA7CC3">
      <w:r>
        <w:separator/>
      </w:r>
    </w:p>
  </w:footnote>
  <w:footnote w:type="continuationSeparator" w:id="0">
    <w:p w:rsidR="00AA7CC3" w:rsidRDefault="00AA7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BFEAA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9F498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2967B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4843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E28E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B94BE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DF2F4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C3A01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F2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9328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CE6B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27909A0"/>
    <w:multiLevelType w:val="hybridMultilevel"/>
    <w:tmpl w:val="EF24DECA"/>
    <w:lvl w:ilvl="0" w:tplc="66F2C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32147D1"/>
    <w:multiLevelType w:val="hybridMultilevel"/>
    <w:tmpl w:val="CC22B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13"/>
    <w:rsid w:val="00036C66"/>
    <w:rsid w:val="00037103"/>
    <w:rsid w:val="00086282"/>
    <w:rsid w:val="000876CA"/>
    <w:rsid w:val="00094B14"/>
    <w:rsid w:val="001152E3"/>
    <w:rsid w:val="00122D71"/>
    <w:rsid w:val="001304F6"/>
    <w:rsid w:val="00132BF2"/>
    <w:rsid w:val="0017629B"/>
    <w:rsid w:val="00183B25"/>
    <w:rsid w:val="001B7608"/>
    <w:rsid w:val="001D2B47"/>
    <w:rsid w:val="001F2FB9"/>
    <w:rsid w:val="00211DE7"/>
    <w:rsid w:val="00216E19"/>
    <w:rsid w:val="002244BA"/>
    <w:rsid w:val="00295F82"/>
    <w:rsid w:val="002A474B"/>
    <w:rsid w:val="002C0CEC"/>
    <w:rsid w:val="002D34FD"/>
    <w:rsid w:val="0032543B"/>
    <w:rsid w:val="003270BB"/>
    <w:rsid w:val="0033763D"/>
    <w:rsid w:val="00350797"/>
    <w:rsid w:val="00372539"/>
    <w:rsid w:val="003B65FF"/>
    <w:rsid w:val="003D1EF4"/>
    <w:rsid w:val="003D616F"/>
    <w:rsid w:val="00422E6E"/>
    <w:rsid w:val="00465B24"/>
    <w:rsid w:val="004A5353"/>
    <w:rsid w:val="005021E6"/>
    <w:rsid w:val="0051350C"/>
    <w:rsid w:val="00540ADB"/>
    <w:rsid w:val="00594A6A"/>
    <w:rsid w:val="005B5FD3"/>
    <w:rsid w:val="00675F1A"/>
    <w:rsid w:val="006774C8"/>
    <w:rsid w:val="006979F5"/>
    <w:rsid w:val="006B2D85"/>
    <w:rsid w:val="006C3CC1"/>
    <w:rsid w:val="006D2AE0"/>
    <w:rsid w:val="0073648D"/>
    <w:rsid w:val="00770ED5"/>
    <w:rsid w:val="007B55F2"/>
    <w:rsid w:val="00802826"/>
    <w:rsid w:val="008637EE"/>
    <w:rsid w:val="008655B2"/>
    <w:rsid w:val="008A03DA"/>
    <w:rsid w:val="008D3BDB"/>
    <w:rsid w:val="008E5D2E"/>
    <w:rsid w:val="00903D0C"/>
    <w:rsid w:val="0095053F"/>
    <w:rsid w:val="009B4012"/>
    <w:rsid w:val="009B7F8E"/>
    <w:rsid w:val="009C147C"/>
    <w:rsid w:val="00A34B21"/>
    <w:rsid w:val="00AA7CC3"/>
    <w:rsid w:val="00B0198A"/>
    <w:rsid w:val="00B119A0"/>
    <w:rsid w:val="00B1373C"/>
    <w:rsid w:val="00B34A67"/>
    <w:rsid w:val="00B3754D"/>
    <w:rsid w:val="00B55208"/>
    <w:rsid w:val="00B74AB9"/>
    <w:rsid w:val="00B91D8D"/>
    <w:rsid w:val="00BA4855"/>
    <w:rsid w:val="00C14656"/>
    <w:rsid w:val="00C50D65"/>
    <w:rsid w:val="00C613D8"/>
    <w:rsid w:val="00C70A44"/>
    <w:rsid w:val="00C83738"/>
    <w:rsid w:val="00C92841"/>
    <w:rsid w:val="00CF124A"/>
    <w:rsid w:val="00D356FA"/>
    <w:rsid w:val="00D649FF"/>
    <w:rsid w:val="00D73B00"/>
    <w:rsid w:val="00D76234"/>
    <w:rsid w:val="00DB7740"/>
    <w:rsid w:val="00DC4FB4"/>
    <w:rsid w:val="00DE6331"/>
    <w:rsid w:val="00DF4213"/>
    <w:rsid w:val="00E462B2"/>
    <w:rsid w:val="00E52A14"/>
    <w:rsid w:val="00E52CC9"/>
    <w:rsid w:val="00E651DB"/>
    <w:rsid w:val="00EA4AE3"/>
    <w:rsid w:val="00EE330A"/>
    <w:rsid w:val="00F10A79"/>
    <w:rsid w:val="00FA3BE8"/>
    <w:rsid w:val="00FB54D8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CF124A"/>
    <w:rPr>
      <w:color w:val="800080"/>
      <w:u w:val="single"/>
    </w:rPr>
  </w:style>
  <w:style w:type="paragraph" w:styleId="Header">
    <w:name w:val="header"/>
    <w:basedOn w:val="Normal"/>
    <w:rsid w:val="00211DE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11DE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0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8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5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6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6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6F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9284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CF124A"/>
    <w:rPr>
      <w:color w:val="800080"/>
      <w:u w:val="single"/>
    </w:rPr>
  </w:style>
  <w:style w:type="paragraph" w:styleId="Header">
    <w:name w:val="header"/>
    <w:basedOn w:val="Normal"/>
    <w:rsid w:val="00211DE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11DE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01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8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5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6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6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6F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C928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5496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Myself Included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Simmons</dc:creator>
  <cp:lastModifiedBy>Macias, Oscar</cp:lastModifiedBy>
  <cp:revision>2</cp:revision>
  <dcterms:created xsi:type="dcterms:W3CDTF">2020-09-02T22:34:00Z</dcterms:created>
  <dcterms:modified xsi:type="dcterms:W3CDTF">2020-09-02T22:34:00Z</dcterms:modified>
</cp:coreProperties>
</file>